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项目名称：2023年-2025年财务报告审计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项目编号：BSRMYY-YNCG-2024-04007</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供应商资质条件佐证材料（须圈出符合资质要求的经营范围和有效期）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9.</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10.密封档案袋格式要求。</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outlineLvl w:val="9"/>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1.供应商资质条件佐证材料（公司营业执照须圈出符合资质要求的经营范围和有效期），本项目要求投标供应商：具有有效的营业执照、税务登记证、组织机构代码及会计师事务所执业证书等相关证件；具有履行合同所必需的专业技术能力，近三年来承担二甲医院及以上财务审计的业绩的证明材料；近三年内没有被国家有关部门予以处罚的记录，并在有关审计工作中没有出现质量问题和不良记录。</w:t>
      </w:r>
    </w:p>
    <w:p>
      <w:pPr>
        <w:jc w:val="both"/>
        <w:rPr>
          <w:rFonts w:hint="default" w:ascii="仿宋_GB2312" w:hAnsi="Arial" w:eastAsia="仿宋_GB2312" w:cstheme="minorBidi"/>
          <w:b/>
          <w:color w:val="auto"/>
          <w:kern w:val="2"/>
          <w:sz w:val="24"/>
          <w:szCs w:val="24"/>
          <w:lang w:val="en-US" w:eastAsia="zh-CN" w:bidi="ar-SA"/>
        </w:rPr>
      </w:pP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228"/>
        <w:gridCol w:w="737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228"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7373" w:type="dxa"/>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ascii="Times New Roman" w:hAnsi="Times New Roman" w:eastAsia="仿宋" w:cs="Times New Roman"/>
                <w:b/>
                <w:kern w:val="0"/>
                <w:sz w:val="24"/>
                <w:szCs w:val="24"/>
                <w:lang w:val="en-US" w:eastAsia="zh-CN"/>
              </w:rPr>
              <w:t>服务内容要求</w:t>
            </w:r>
            <w:r>
              <w:rPr>
                <w:rFonts w:hint="eastAsia" w:ascii="Times New Roman" w:hAnsi="Times New Roman" w:eastAsia="仿宋" w:cs="Times New Roman"/>
                <w:b/>
                <w:bCs w:val="0"/>
                <w:kern w:val="0"/>
                <w:sz w:val="24"/>
                <w:szCs w:val="24"/>
                <w:lang w:val="en-US" w:eastAsia="zh-CN"/>
              </w:rPr>
              <w:t>（须完全响应）</w:t>
            </w:r>
          </w:p>
        </w:tc>
        <w:tc>
          <w:tcPr>
            <w:tcW w:w="1326"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5"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228"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方正仿宋_GBK" w:hAnsi="方正仿宋_GBK" w:eastAsia="方正仿宋_GBK" w:cs="方正仿宋_GBK"/>
                <w:sz w:val="24"/>
                <w:szCs w:val="24"/>
                <w:lang w:val="en-US" w:eastAsia="zh-CN"/>
              </w:rPr>
            </w:pPr>
            <w:r>
              <w:rPr>
                <w:rFonts w:hint="eastAsia" w:ascii="微软雅黑" w:hAnsi="微软雅黑" w:eastAsia="微软雅黑" w:cs="微软雅黑"/>
                <w:i w:val="0"/>
                <w:caps w:val="0"/>
                <w:color w:val="555555"/>
                <w:spacing w:val="0"/>
                <w:sz w:val="21"/>
                <w:szCs w:val="21"/>
                <w:lang w:val="en-US" w:eastAsia="zh-CN"/>
              </w:rPr>
              <w:t>2023年-2025年财务报告审计</w:t>
            </w:r>
          </w:p>
        </w:tc>
        <w:tc>
          <w:tcPr>
            <w:tcW w:w="7373" w:type="dxa"/>
            <w:vAlign w:val="center"/>
          </w:tcPr>
          <w:p>
            <w:pPr>
              <w:widowControl/>
              <w:spacing w:line="360" w:lineRule="auto"/>
              <w:jc w:val="left"/>
              <w:rPr>
                <w:rFonts w:hint="default" w:ascii="方正仿宋_GBK" w:hAnsi="方正仿宋_GBK" w:eastAsia="方正仿宋_GBK" w:cs="方正仿宋_GBK"/>
                <w:bCs/>
                <w:sz w:val="24"/>
                <w:szCs w:val="24"/>
                <w:lang w:val="en-US" w:eastAsia="zh-CN"/>
              </w:rPr>
            </w:pPr>
            <w:r>
              <w:rPr>
                <w:rFonts w:hint="default" w:ascii="方正仿宋_GBK" w:hAnsi="方正仿宋_GBK" w:eastAsia="方正仿宋_GBK" w:cs="方正仿宋_GBK"/>
                <w:bCs/>
                <w:sz w:val="24"/>
                <w:szCs w:val="24"/>
                <w:lang w:val="en-US" w:eastAsia="zh-CN"/>
              </w:rPr>
              <w:t>审计目标和范围：对</w:t>
            </w:r>
            <w:r>
              <w:rPr>
                <w:rFonts w:hint="eastAsia" w:ascii="方正仿宋_GBK" w:hAnsi="方正仿宋_GBK" w:eastAsia="方正仿宋_GBK" w:cs="方正仿宋_GBK"/>
                <w:bCs/>
                <w:sz w:val="24"/>
                <w:szCs w:val="24"/>
                <w:lang w:val="en-US" w:eastAsia="zh-CN"/>
              </w:rPr>
              <w:t>2023至2025年共3年采购</w:t>
            </w:r>
            <w:r>
              <w:rPr>
                <w:rFonts w:hint="default" w:ascii="方正仿宋_GBK" w:hAnsi="方正仿宋_GBK" w:eastAsia="方正仿宋_GBK" w:cs="方正仿宋_GBK"/>
                <w:bCs/>
                <w:sz w:val="24"/>
                <w:szCs w:val="24"/>
                <w:lang w:val="en-US" w:eastAsia="zh-CN"/>
              </w:rPr>
              <w:t>人编制的资产负债表和年度收入费用总表、现金流量表、财</w:t>
            </w:r>
            <w:bookmarkStart w:id="31" w:name="_GoBack"/>
            <w:bookmarkEnd w:id="31"/>
            <w:r>
              <w:rPr>
                <w:rFonts w:hint="default" w:ascii="方正仿宋_GBK" w:hAnsi="方正仿宋_GBK" w:eastAsia="方正仿宋_GBK" w:cs="方正仿宋_GBK"/>
                <w:bCs/>
                <w:sz w:val="24"/>
                <w:szCs w:val="24"/>
                <w:lang w:val="en-US" w:eastAsia="zh-CN"/>
              </w:rPr>
              <w:t>政补助收支情况表以及财务报表附注和财务情况说明书进行审计。</w:t>
            </w:r>
          </w:p>
          <w:p>
            <w:pPr>
              <w:widowControl/>
              <w:spacing w:line="360" w:lineRule="auto"/>
              <w:jc w:val="left"/>
              <w:rPr>
                <w:rFonts w:hint="default" w:ascii="方正仿宋_GBK" w:hAnsi="方正仿宋_GBK" w:eastAsia="方正仿宋_GBK" w:cs="方正仿宋_GBK"/>
                <w:bCs/>
                <w:sz w:val="24"/>
                <w:szCs w:val="24"/>
                <w:lang w:val="en-US" w:eastAsia="zh-CN"/>
              </w:rPr>
            </w:pPr>
            <w:r>
              <w:rPr>
                <w:rFonts w:hint="default" w:ascii="方正仿宋_GBK" w:hAnsi="方正仿宋_GBK" w:eastAsia="方正仿宋_GBK" w:cs="方正仿宋_GBK"/>
                <w:bCs/>
                <w:sz w:val="24"/>
                <w:szCs w:val="24"/>
                <w:lang w:val="en-US" w:eastAsia="zh-CN"/>
              </w:rPr>
              <w:t>审计时间要求：会计师事务所应根据招标人的实际情况，合理安排时间，制定周密的审计实施方案，严格按实施方案组织审计。</w:t>
            </w:r>
          </w:p>
          <w:p>
            <w:pPr>
              <w:widowControl/>
              <w:spacing w:line="360" w:lineRule="auto"/>
              <w:jc w:val="left"/>
              <w:rPr>
                <w:rFonts w:hint="default" w:ascii="方正仿宋_GBK" w:hAnsi="方正仿宋_GBK" w:eastAsia="方正仿宋_GBK" w:cs="方正仿宋_GBK"/>
                <w:bCs/>
                <w:sz w:val="24"/>
                <w:szCs w:val="24"/>
                <w:lang w:val="en-US" w:eastAsia="zh-CN"/>
              </w:rPr>
            </w:pPr>
            <w:r>
              <w:rPr>
                <w:rFonts w:hint="default" w:ascii="方正仿宋_GBK" w:hAnsi="方正仿宋_GBK" w:eastAsia="方正仿宋_GBK" w:cs="方正仿宋_GBK"/>
                <w:bCs/>
                <w:sz w:val="24"/>
                <w:szCs w:val="24"/>
                <w:lang w:val="en-US" w:eastAsia="zh-CN"/>
              </w:rPr>
              <w:t>审计人员配备要求：会计师事务所要切实履行投标书承诺的事项，合理安排审计力量，审计项目组的人员要固定。其中：项目审计负责人必须由6年以上的注册会计师工作经验、业务能力强、承担过二甲医院及以上财务审计的项目负责人担任；项目组成员必须由具有审计从业经验、能胜任审计工作的人员担任。人员的数量应根据审计业务的实际需要，合理安排人数。</w:t>
            </w:r>
          </w:p>
        </w:tc>
        <w:tc>
          <w:tcPr>
            <w:tcW w:w="1326"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4"/>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商务部分：（须完全响应）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1.交付期限：合同签订后</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20个工作日完成2023年财务报告审计，2024年和2025年审计报告应在接到采购人通知后20个工作日内完成</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服务</w:t>
            </w:r>
            <w:r>
              <w:rPr>
                <w:rFonts w:hint="eastAsia" w:ascii="方正仿宋_GBK" w:hAnsi="方正仿宋_GBK" w:eastAsia="方正仿宋_GBK" w:cs="方正仿宋_GBK"/>
                <w:sz w:val="24"/>
                <w:szCs w:val="24"/>
              </w:rPr>
              <w:t>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人工费、材料打印装订邮寄费、差旅住宿费、交通费、税费、保险费、验收费、鉴定费等完成本项目所需的一切费用。因成交供应商自身原因造成漏报、少报皆由其自行承担责任，采购人不再补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rPr>
              <w:t>分期付款：</w:t>
            </w:r>
            <w:r>
              <w:rPr>
                <w:rFonts w:hint="eastAsia" w:ascii="方正仿宋_GBK" w:hAnsi="方正仿宋_GBK" w:eastAsia="方正仿宋_GBK" w:cs="方正仿宋_GBK"/>
                <w:sz w:val="24"/>
                <w:szCs w:val="24"/>
                <w:lang w:val="en-US" w:eastAsia="zh-CN"/>
              </w:rPr>
              <w:t>供应商3年报价折算成每年度费用，完成一年结算一次</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sz w:val="24"/>
                <w:szCs w:val="24"/>
                <w:lang w:val="en-US" w:eastAsia="zh-CN"/>
              </w:rPr>
              <w:t>和购销廉政协议</w:t>
            </w:r>
            <w:r>
              <w:rPr>
                <w:rFonts w:hint="eastAsia" w:ascii="方正仿宋_GBK" w:hAnsi="方正仿宋_GBK" w:eastAsia="方正仿宋_GBK" w:cs="方正仿宋_GBK"/>
                <w:b/>
                <w:bCs/>
                <w:sz w:val="24"/>
                <w:szCs w:val="24"/>
                <w:lang w:val="en-US" w:eastAsia="zh-CN"/>
              </w:rPr>
              <w:t>。</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w:t>
            </w:r>
            <w:r>
              <w:rPr>
                <w:rFonts w:hint="eastAsia" w:ascii="方正仿宋_GBK" w:hAnsi="方正仿宋_GBK" w:eastAsia="方正仿宋_GBK" w:cs="方正仿宋_GBK"/>
                <w:sz w:val="24"/>
                <w:szCs w:val="24"/>
                <w:lang w:val="en-US" w:eastAsia="zh-CN"/>
              </w:rPr>
              <w:t>履约</w:t>
            </w:r>
            <w:r>
              <w:rPr>
                <w:rFonts w:hint="eastAsia" w:ascii="方正仿宋_GBK" w:hAnsi="方正仿宋_GBK" w:eastAsia="方正仿宋_GBK" w:cs="方正仿宋_GBK"/>
                <w:sz w:val="24"/>
                <w:szCs w:val="24"/>
              </w:rPr>
              <w:t>验收</w:t>
            </w:r>
          </w:p>
          <w:p>
            <w:pPr>
              <w:spacing w:line="500" w:lineRule="exact"/>
              <w:ind w:firstLine="480" w:firstLineChars="200"/>
              <w:rPr>
                <w:rFonts w:hint="default"/>
                <w:lang w:val="en-US" w:eastAsia="zh-CN"/>
              </w:rPr>
            </w:pPr>
            <w:r>
              <w:rPr>
                <w:rFonts w:hint="eastAsia" w:ascii="方正仿宋_GBK" w:hAnsi="方正仿宋_GBK" w:eastAsia="方正仿宋_GBK" w:cs="方正仿宋_GBK"/>
                <w:sz w:val="24"/>
                <w:szCs w:val="24"/>
              </w:rPr>
              <w:t>1.成交供应商</w:t>
            </w:r>
            <w:r>
              <w:rPr>
                <w:rFonts w:hint="eastAsia" w:ascii="方正仿宋_GBK" w:hAnsi="方正仿宋_GBK" w:eastAsia="方正仿宋_GBK" w:cs="方正仿宋_GBK"/>
                <w:sz w:val="24"/>
                <w:szCs w:val="24"/>
                <w:lang w:val="en-US" w:eastAsia="zh-CN"/>
              </w:rPr>
              <w:t>应在规定的时限完成审计服务并出具加盖鲜章的审计报告，</w:t>
            </w:r>
            <w:r>
              <w:rPr>
                <w:rFonts w:hint="eastAsia" w:ascii="方正仿宋_GBK" w:hAnsi="方正仿宋_GBK" w:eastAsia="方正仿宋_GBK" w:cs="方正仿宋_GBK"/>
                <w:sz w:val="24"/>
                <w:szCs w:val="24"/>
              </w:rPr>
              <w:t>双方签字确认</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报告内容须公平公正客观，审计过程中有任何疑问须与采购人当面核实。采购人在或第三方检查机构对报告提出疑问，须在10个工作日内书面回复答疑，如报告有误须立即更正并重新出具，因报告内容有误对采购人造成损失应全额赔偿。</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2.采购人或第三方机构对报告内容有疑问，供应商未在规定时限回复或更正的，采购人有权委托第三方重新进行审计，相关费用由供应商承担。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w:t>
            </w:r>
            <w:r>
              <w:rPr>
                <w:rFonts w:hint="eastAsia" w:ascii="方正仿宋_GBK" w:hAnsi="方正仿宋_GBK" w:eastAsia="方正仿宋_GBK" w:cs="方正仿宋_GBK"/>
                <w:sz w:val="24"/>
                <w:szCs w:val="24"/>
              </w:rPr>
              <w:t>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服务期间免费提供财务审计相关业务电话咨询</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spacing w:line="500" w:lineRule="exact"/>
              <w:ind w:firstLine="480" w:firstLineChars="200"/>
              <w:rPr>
                <w:rFonts w:hint="default"/>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采购人在或第三方检查机构对报告提出疑问，供应商未在规定时限回复或更正的，采购人有权委托第三方重新进行审计，相关费用由供应商承担，因报告内容有误对采购人造成损失应全额赔偿。</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4"/>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color w:val="555555"/>
                <w:kern w:val="0"/>
                <w:sz w:val="32"/>
                <w:szCs w:val="32"/>
                <w:lang w:val="en-US" w:eastAsia="zh-CN" w:bidi="ar"/>
              </w:rPr>
            </w:pPr>
            <w:r>
              <w:rPr>
                <w:rFonts w:hint="eastAsia" w:ascii="仿宋" w:hAnsi="仿宋" w:eastAsia="仿宋" w:cs="仿宋"/>
                <w:b/>
                <w:bCs/>
                <w:color w:val="555555"/>
                <w:kern w:val="0"/>
                <w:sz w:val="32"/>
                <w:szCs w:val="32"/>
                <w:lang w:bidi="ar"/>
              </w:rPr>
              <w:t xml:space="preserve">二、供应商响应情况 </w:t>
            </w:r>
            <w:r>
              <w:rPr>
                <w:rFonts w:hint="eastAsia" w:ascii="宋体" w:hAnsi="宋体" w:eastAsia="宋体" w:cs="宋体"/>
                <w:b/>
                <w:bCs/>
                <w:color w:val="555555"/>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0" w:type="auto"/>
            <w:gridSpan w:val="4"/>
            <w:vAlign w:val="center"/>
          </w:tcPr>
          <w:tbl>
            <w:tblPr>
              <w:tblStyle w:val="13"/>
              <w:tblpPr w:leftFromText="180" w:rightFromText="180" w:vertAnchor="text" w:horzAnchor="page" w:tblpX="151" w:tblpY="355"/>
              <w:tblOverlap w:val="never"/>
              <w:tblW w:w="10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903"/>
              <w:gridCol w:w="2008"/>
              <w:gridCol w:w="2273"/>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19" w:type="dxa"/>
                </w:tcPr>
                <w:p>
                  <w:pPr>
                    <w:widowControl/>
                    <w:spacing w:line="360" w:lineRule="auto"/>
                    <w:jc w:val="center"/>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序号</w:t>
                  </w:r>
                </w:p>
              </w:tc>
              <w:tc>
                <w:tcPr>
                  <w:tcW w:w="1903" w:type="dxa"/>
                </w:tcPr>
                <w:p>
                  <w:pPr>
                    <w:widowControl/>
                    <w:spacing w:line="360" w:lineRule="auto"/>
                    <w:jc w:val="center"/>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名称</w:t>
                  </w:r>
                </w:p>
              </w:tc>
              <w:tc>
                <w:tcPr>
                  <w:tcW w:w="2008" w:type="dxa"/>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技术参数是否完全响应</w:t>
                  </w:r>
                </w:p>
              </w:tc>
              <w:tc>
                <w:tcPr>
                  <w:tcW w:w="2273" w:type="dxa"/>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商务要求是否完全响应</w:t>
                  </w:r>
                </w:p>
              </w:tc>
              <w:tc>
                <w:tcPr>
                  <w:tcW w:w="3047" w:type="dxa"/>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val="en-US" w:eastAsia="zh-CN" w:bidi="ar"/>
                    </w:rPr>
                    <w:t>3年服务报价（</w:t>
                  </w:r>
                  <w:r>
                    <w:rPr>
                      <w:rFonts w:hint="eastAsia" w:ascii="仿宋" w:hAnsi="仿宋" w:eastAsia="仿宋" w:cs="仿宋"/>
                      <w:b/>
                      <w:bCs/>
                      <w:color w:val="555555"/>
                      <w:spacing w:val="-34"/>
                      <w:kern w:val="0"/>
                      <w:sz w:val="24"/>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19" w:type="dxa"/>
                </w:tcPr>
                <w:p>
                  <w:pPr>
                    <w:widowControl/>
                    <w:spacing w:line="360" w:lineRule="auto"/>
                    <w:jc w:val="left"/>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1</w:t>
                  </w:r>
                </w:p>
              </w:tc>
              <w:tc>
                <w:tcPr>
                  <w:tcW w:w="1903" w:type="dxa"/>
                </w:tcPr>
                <w:p>
                  <w:pPr>
                    <w:widowControl/>
                    <w:spacing w:line="360" w:lineRule="auto"/>
                    <w:jc w:val="left"/>
                    <w:rPr>
                      <w:rFonts w:hint="eastAsia" w:ascii="仿宋" w:hAnsi="仿宋" w:eastAsia="仿宋" w:cs="仿宋"/>
                      <w:b/>
                      <w:bCs/>
                      <w:color w:val="555555"/>
                      <w:kern w:val="0"/>
                      <w:sz w:val="24"/>
                      <w:lang w:eastAsia="zh-CN" w:bidi="ar"/>
                    </w:rPr>
                  </w:pPr>
                  <w:r>
                    <w:rPr>
                      <w:rFonts w:hint="eastAsia" w:ascii="微软雅黑" w:hAnsi="微软雅黑" w:eastAsia="微软雅黑" w:cs="微软雅黑"/>
                      <w:i w:val="0"/>
                      <w:caps w:val="0"/>
                      <w:color w:val="555555"/>
                      <w:spacing w:val="0"/>
                      <w:sz w:val="21"/>
                      <w:szCs w:val="21"/>
                      <w:lang w:val="en-US" w:eastAsia="zh-CN"/>
                    </w:rPr>
                    <w:t>2023年-2025年财务报告审计</w:t>
                  </w:r>
                </w:p>
              </w:tc>
              <w:tc>
                <w:tcPr>
                  <w:tcW w:w="2008" w:type="dxa"/>
                </w:tcPr>
                <w:p>
                  <w:pPr>
                    <w:widowControl/>
                    <w:spacing w:line="360" w:lineRule="auto"/>
                    <w:jc w:val="left"/>
                    <w:rPr>
                      <w:rFonts w:ascii="仿宋" w:hAnsi="仿宋" w:eastAsia="仿宋" w:cs="仿宋"/>
                      <w:b/>
                      <w:bCs/>
                      <w:color w:val="555555"/>
                      <w:kern w:val="0"/>
                      <w:sz w:val="32"/>
                      <w:szCs w:val="32"/>
                      <w:lang w:bidi="ar"/>
                    </w:rPr>
                  </w:pPr>
                </w:p>
              </w:tc>
              <w:tc>
                <w:tcPr>
                  <w:tcW w:w="2273" w:type="dxa"/>
                </w:tcPr>
                <w:p>
                  <w:pPr>
                    <w:widowControl/>
                    <w:spacing w:line="360" w:lineRule="auto"/>
                    <w:jc w:val="left"/>
                    <w:rPr>
                      <w:rFonts w:ascii="仿宋" w:hAnsi="仿宋" w:eastAsia="仿宋" w:cs="仿宋"/>
                      <w:b/>
                      <w:bCs/>
                      <w:color w:val="555555"/>
                      <w:kern w:val="0"/>
                      <w:sz w:val="32"/>
                      <w:szCs w:val="32"/>
                      <w:lang w:bidi="ar"/>
                    </w:rPr>
                  </w:pPr>
                </w:p>
              </w:tc>
              <w:tc>
                <w:tcPr>
                  <w:tcW w:w="3047" w:type="dxa"/>
                </w:tcPr>
                <w:p>
                  <w:pPr>
                    <w:widowControl/>
                    <w:spacing w:line="360" w:lineRule="auto"/>
                    <w:jc w:val="left"/>
                    <w:rPr>
                      <w:rFonts w:ascii="仿宋" w:hAnsi="仿宋" w:eastAsia="仿宋" w:cs="仿宋"/>
                      <w:b/>
                      <w:bCs/>
                      <w:color w:val="555555"/>
                      <w:kern w:val="0"/>
                      <w:sz w:val="32"/>
                      <w:szCs w:val="32"/>
                      <w:lang w:bidi="ar"/>
                    </w:rPr>
                  </w:pPr>
                </w:p>
              </w:tc>
            </w:tr>
          </w:tbl>
          <w:p>
            <w:pPr>
              <w:widowControl/>
              <w:spacing w:line="360" w:lineRule="auto"/>
              <w:jc w:val="left"/>
              <w:rPr>
                <w:rFonts w:hint="eastAsia" w:ascii="仿宋" w:hAnsi="仿宋" w:eastAsia="仿宋" w:cs="仿宋"/>
                <w:b/>
                <w:bCs/>
                <w:color w:val="555555"/>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0" w:type="auto"/>
            <w:gridSpan w:val="4"/>
            <w:vAlign w:val="center"/>
          </w:tcPr>
          <w:p>
            <w:pPr>
              <w:pStyle w:val="9"/>
              <w:widowControl/>
              <w:spacing w:before="0" w:beforeAutospacing="0" w:after="0" w:afterAutospacing="0" w:line="380" w:lineRule="exact"/>
              <w:rPr>
                <w:rFonts w:ascii="仿宋" w:hAnsi="仿宋" w:eastAsia="仿宋" w:cs="仿宋"/>
                <w:b/>
                <w:bCs/>
                <w:color w:val="555555"/>
                <w:lang w:bidi="ar"/>
              </w:rPr>
            </w:pPr>
            <w:r>
              <w:rPr>
                <w:rFonts w:hint="eastAsia" w:ascii="仿宋" w:hAnsi="仿宋" w:eastAsia="仿宋" w:cs="仿宋"/>
                <w:b/>
                <w:bCs/>
                <w:color w:val="555555"/>
                <w:lang w:bidi="ar"/>
              </w:rPr>
              <w:t>注意：技术参数请在投标产品相关资料中提供佐证材料。</w:t>
            </w:r>
          </w:p>
          <w:p>
            <w:pPr>
              <w:pStyle w:val="9"/>
              <w:widowControl/>
              <w:wordWrap w:val="0"/>
              <w:spacing w:before="0" w:beforeAutospacing="0" w:after="0" w:afterAutospacing="0" w:line="380" w:lineRule="exact"/>
              <w:jc w:val="right"/>
              <w:rPr>
                <w:rFonts w:ascii="仿宋" w:hAnsi="仿宋" w:eastAsia="仿宋" w:cs="仿宋"/>
                <w:b/>
                <w:bCs/>
                <w:color w:val="555555"/>
                <w:lang w:bidi="ar"/>
              </w:rPr>
            </w:pPr>
            <w:r>
              <w:rPr>
                <w:rFonts w:hint="eastAsia" w:ascii="仿宋" w:hAnsi="仿宋" w:eastAsia="仿宋" w:cs="仿宋"/>
                <w:b/>
                <w:bCs/>
                <w:color w:val="555555"/>
                <w:lang w:bidi="ar"/>
              </w:rPr>
              <w:t xml:space="preserve">供应商名称（盖章）：               </w:t>
            </w:r>
          </w:p>
          <w:p>
            <w:pPr>
              <w:widowControl/>
              <w:spacing w:line="360" w:lineRule="auto"/>
              <w:jc w:val="center"/>
              <w:rPr>
                <w:rFonts w:hint="eastAsia" w:ascii="宋体" w:hAnsi="宋体" w:eastAsia="宋体" w:cs="宋体"/>
                <w:b/>
                <w:bCs/>
                <w:color w:val="555555"/>
                <w:kern w:val="0"/>
                <w:sz w:val="32"/>
                <w:szCs w:val="32"/>
                <w:lang w:val="en-US" w:eastAsia="zh-CN" w:bidi="ar"/>
              </w:rPr>
            </w:pPr>
            <w:r>
              <w:rPr>
                <w:rFonts w:hint="eastAsia" w:ascii="仿宋" w:hAnsi="仿宋" w:eastAsia="仿宋" w:cs="仿宋"/>
                <w:b/>
                <w:bCs/>
                <w:color w:val="555555"/>
                <w:kern w:val="0"/>
                <w:sz w:val="24"/>
                <w:lang w:bidi="ar"/>
              </w:rPr>
              <w:t xml:space="preserve">                                           日期：</w:t>
            </w:r>
            <w:r>
              <w:rPr>
                <w:rFonts w:hint="eastAsia" w:ascii="宋体" w:hAnsi="宋体" w:eastAsia="宋体" w:cs="宋体"/>
                <w:b/>
                <w:bCs/>
                <w:color w:val="555555"/>
                <w:kern w:val="0"/>
                <w:sz w:val="24"/>
                <w:lang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66549448"/>
      <w:bookmarkStart w:id="3" w:name="_Toc156730450"/>
      <w:bookmarkStart w:id="4" w:name="_Toc156196470"/>
      <w:bookmarkStart w:id="5" w:name="_Toc156196559"/>
      <w:bookmarkStart w:id="6" w:name="_Toc156815770"/>
      <w:bookmarkStart w:id="7" w:name="_Toc128229302"/>
      <w:bookmarkStart w:id="8" w:name="_Toc166139912"/>
      <w:bookmarkStart w:id="9" w:name="_Toc175017342"/>
      <w:bookmarkStart w:id="10" w:name="_Toc173677397"/>
      <w:bookmarkStart w:id="11" w:name="_Toc128229916"/>
      <w:bookmarkStart w:id="12" w:name="_Toc128229745"/>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66549449"/>
      <w:bookmarkStart w:id="14" w:name="_Toc128229303"/>
      <w:bookmarkStart w:id="15" w:name="_Toc128229917"/>
      <w:bookmarkStart w:id="16" w:name="_Toc156815771"/>
      <w:bookmarkStart w:id="17" w:name="_Toc175017343"/>
      <w:bookmarkStart w:id="18" w:name="_Toc156196560"/>
      <w:bookmarkStart w:id="19" w:name="_Toc156196471"/>
      <w:bookmarkStart w:id="20" w:name="_Toc156730451"/>
      <w:bookmarkStart w:id="21" w:name="_Toc173677398"/>
      <w:bookmarkStart w:id="22" w:name="_Toc166139913"/>
      <w:bookmarkStart w:id="23" w:name="_Toc128229746"/>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237057793"/>
      <w:bookmarkStart w:id="25" w:name="_Toc128229304"/>
      <w:bookmarkStart w:id="26" w:name="_Toc173677399"/>
      <w:bookmarkStart w:id="27" w:name="_Toc156196472"/>
      <w:bookmarkStart w:id="28" w:name="_Toc128229747"/>
      <w:bookmarkStart w:id="29" w:name="_Toc128014297"/>
      <w:bookmarkStart w:id="30" w:name="_Toc175017344"/>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15B6D6E"/>
    <w:rsid w:val="04C36294"/>
    <w:rsid w:val="056E5276"/>
    <w:rsid w:val="06FB539B"/>
    <w:rsid w:val="0C872834"/>
    <w:rsid w:val="0CE64C8D"/>
    <w:rsid w:val="0FD01451"/>
    <w:rsid w:val="122D0B62"/>
    <w:rsid w:val="1922346A"/>
    <w:rsid w:val="1AF86BE0"/>
    <w:rsid w:val="1BDE0896"/>
    <w:rsid w:val="1CF00EFC"/>
    <w:rsid w:val="20643665"/>
    <w:rsid w:val="21426D4A"/>
    <w:rsid w:val="236757CC"/>
    <w:rsid w:val="2FC44243"/>
    <w:rsid w:val="33FB61AD"/>
    <w:rsid w:val="342C6BC9"/>
    <w:rsid w:val="376E6279"/>
    <w:rsid w:val="38A14340"/>
    <w:rsid w:val="3D8263F7"/>
    <w:rsid w:val="3F5D6CC7"/>
    <w:rsid w:val="44C5770F"/>
    <w:rsid w:val="44EF71C4"/>
    <w:rsid w:val="46762EB5"/>
    <w:rsid w:val="47112DA6"/>
    <w:rsid w:val="482D6FF9"/>
    <w:rsid w:val="496140CE"/>
    <w:rsid w:val="4AE139DB"/>
    <w:rsid w:val="4BDB0A24"/>
    <w:rsid w:val="4C31315D"/>
    <w:rsid w:val="4D240CC9"/>
    <w:rsid w:val="4F6D75ED"/>
    <w:rsid w:val="53A17F68"/>
    <w:rsid w:val="61130716"/>
    <w:rsid w:val="61143219"/>
    <w:rsid w:val="626B6216"/>
    <w:rsid w:val="67CF5844"/>
    <w:rsid w:val="69D01878"/>
    <w:rsid w:val="6A1F4430"/>
    <w:rsid w:val="6D236ACD"/>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3</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2024-04-25T08:53:55Z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